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24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20955</wp:posOffset>
                </wp:positionV>
                <wp:extent cx="2673350" cy="549275"/>
                <wp:effectExtent l="0" t="0" r="0" b="0"/>
                <wp:wrapSquare wrapText="bothSides"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-94" t="-458" r="-93" b="-457"/>
                        <a:stretch/>
                      </pic:blipFill>
                      <pic:spPr bwMode="auto">
                        <a:xfrm>
                          <a:off x="0" y="0"/>
                          <a:ext cx="2673350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0.20pt;mso-position-horizontal:absolute;mso-position-vertical-relative:text;margin-top:1.65pt;mso-position-vertical:absolute;width:210.50pt;height:43.25pt;mso-wrap-distance-left:0.00pt;mso-wrap-distance-top:0.00pt;mso-wrap-distance-right:0.00pt;mso-wrap-distance-bottom:0.00pt;" stroked="f">
                <v:path textboxrect="0,0,0,0"/>
                <w10:wrap type="square"/>
                <v:imagedata r:id="rId11" o:title=""/>
              </v:shape>
            </w:pict>
          </mc:Fallback>
        </mc:AlternateContent>
      </w:r>
      <w:r/>
    </w:p>
    <w:p>
      <w:pPr>
        <w:pStyle w:val="639"/>
      </w:pPr>
      <w:r/>
      <w:r/>
    </w:p>
    <w:p>
      <w:pPr>
        <w:pStyle w:val="639"/>
      </w:pPr>
      <w:r/>
      <w:r/>
    </w:p>
    <w:p>
      <w:pPr>
        <w:pStyle w:val="639"/>
        <w:jc w:val="right"/>
      </w:pPr>
      <w:r>
        <w:rPr>
          <w:rFonts w:ascii="Segoe UI" w:hAnsi="Segoe UI" w:cs="Segoe UI"/>
          <w:b/>
          <w:bCs/>
          <w:sz w:val="32"/>
          <w:szCs w:val="32"/>
        </w:rPr>
        <w:t xml:space="preserve">ПРЕСС-РЕЛИЗ</w:t>
      </w:r>
      <w:r/>
    </w:p>
    <w:p>
      <w:pPr>
        <w:pStyle w:val="639"/>
        <w:jc w:val="right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</w:r>
      <w:r>
        <w:rPr>
          <w:rFonts w:ascii="Segoe UI" w:hAnsi="Segoe UI" w:cs="Segoe UI"/>
          <w:b/>
          <w:bCs/>
          <w:sz w:val="16"/>
          <w:szCs w:val="16"/>
        </w:rPr>
      </w:r>
    </w:p>
    <w:p>
      <w:pPr>
        <w:pStyle w:val="685"/>
        <w:jc w:val="center"/>
        <w:spacing w:before="0" w:after="0" w:line="240" w:lineRule="auto"/>
      </w:pPr>
      <w:r>
        <w:rPr>
          <w:sz w:val="32"/>
          <w:szCs w:val="32"/>
        </w:rPr>
        <w:t xml:space="preserve">Эксперты отвечают на вопросы об электронных сервисах Росреестра</w:t>
      </w:r>
      <w:r/>
    </w:p>
    <w:p>
      <w:pPr>
        <w:pStyle w:val="685"/>
        <w:jc w:val="center"/>
        <w:spacing w:before="0" w:after="0" w:line="240" w:lineRule="auto"/>
        <w:rPr>
          <w:sz w:val="12"/>
          <w:szCs w:val="12"/>
        </w:rPr>
      </w:pP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Style w:val="720"/>
        <w:ind w:left="0" w:right="0" w:firstLine="680"/>
        <w:jc w:val="both"/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Сегодня получать информацию и управлять своей недвижимостью можно не выходя из дома, используя электронные приложения в сети интернет. Эксперты Роскадастра по Алтайскому краю рассказали о персонифицированн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ом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сервис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е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портала Росреестра - «Личный кабинет».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Согласно данным </w:t>
      </w:r>
      <w:r>
        <w:fldChar w:fldCharType="begin"/>
      </w:r>
      <w:r>
        <w:instrText xml:space="preserve"> HYPERLINK "https://altairegion22.ru/press-center/news/2024/bolee-75-zhitelei-altaiskogo-kraya-zaregistrirovany-na-portale-gosuslug_1397820/"</w:instrText>
      </w:r>
      <w:r>
        <w:fldChar w:fldCharType="separate"/>
      </w:r>
      <w:r>
        <w:rPr>
          <w:rStyle w:val="669"/>
          <w:sz w:val="26"/>
          <w:szCs w:val="26"/>
          <w:shd w:val="clear" w:color="auto" w:fill="ffffff"/>
          <w:lang w:eastAsia="ru-RU"/>
        </w:rPr>
        <w:t xml:space="preserve">Правительства Алтайского края</w:t>
      </w:r>
      <w:r>
        <w:fldChar w:fldCharType="end"/>
      </w:r>
      <w:r>
        <w:rPr>
          <w:color w:val="0000ff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3/4 жителей края зарегистрированы на Едином портале госуслуг и имеют подтвержденные учетные записи. Это позволяет им пользоваться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специализированным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сервисом управления недвижимостью.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Личным кабинетом правообладателя</w:t>
      </w:r>
      <w:r>
        <w:rPr>
          <w:sz w:val="26"/>
          <w:szCs w:val="26"/>
        </w:rPr>
        <w:t xml:space="preserve"> - персонифицированный сервис портала Росреестра, позволяющий  пользователю независимо от местонахождения просматривать информацию о принадлежащих ему объектах недвижимости в режиме онлайн. Сервис позволяет собственнику операт</w:t>
      </w:r>
      <w:r>
        <w:rPr>
          <w:sz w:val="26"/>
          <w:szCs w:val="26"/>
        </w:rPr>
        <w:t xml:space="preserve">ивно получать уведомления об изменении характеристик принадлежащих ему объектов недвижимости (адресе, площади, кадастровой стоимости, доле в праве собственности и т.д.), ограничениях прав, арестах на имущество, а также других юридически значимых действиях.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Кроме того, с помощью сервиса можно быстро подать за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явление о проведении государственного кадастрового учета объекта недвижимости или регистрации права, заявление об исправлении технической ошибки в записях Единого государственного реестра недвижимости (ЕГРН), предоставить дополнительные документы, оператив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но получить любой вид выписки из ЕГРН, проверить статус исполнения запроса (заявления) и многое другое. При наличии у пользователя электронной подписи (ЭП) перечень функций сервиса, которыми можно воспользоваться в Личном кабинете, значительно расширяется.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«У правообладателей часто возникает необходимость, например, узнать кадастровый номер принадлежащей ему недвижимости, дату проведения кадастровой оценки и др. Сервис позвол</w:t>
      </w:r>
      <w:r>
        <w:rPr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яет просматривать такую информацию без подачи запросов и поиска сведений на сайте Росреестра. Кроме того, сервис позволяет настроить получение уведомлений о проведении юридически значимых действий в отношении недвижимости, принадлежащей владельцу кабинета»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, - </w:t>
      </w:r>
      <w:r>
        <w:rPr>
          <w:sz w:val="26"/>
          <w:szCs w:val="26"/>
          <w:shd w:val="clear" w:color="auto" w:fill="ffffff"/>
          <w:lang w:eastAsia="ru-RU"/>
        </w:rPr>
        <w:t xml:space="preserve">сообщил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заместитель директора филиала ППК «Роскадастр» по Алтайскому краю Игорь Штайнепрайс.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color w:val="000000"/>
          <w:sz w:val="26"/>
          <w:szCs w:val="26"/>
        </w:rPr>
        <w:t xml:space="preserve">Проф</w:t>
      </w:r>
      <w:r>
        <w:rPr>
          <w:color w:val="000000"/>
          <w:sz w:val="26"/>
          <w:szCs w:val="26"/>
        </w:rPr>
        <w:t xml:space="preserve">ессиональным участникам рынка недвижимости - кадастровым инженерам -  личный кабинет предоставляет дополнительные сервисы. Так, возможно проведение  проверки межевых и технических планов, актов обследования, карт (планов) объектов землеустройства на наличи</w:t>
      </w:r>
      <w:r>
        <w:rPr>
          <w:color w:val="000000"/>
          <w:sz w:val="26"/>
          <w:szCs w:val="26"/>
        </w:rPr>
        <w:t xml:space="preserve">е оснований, препятствующих осуществлению кадастрового учета. Проверка позволяет выявить и исправить ошибки до обращения в орган регистрации прав, что немаловажно для обеспечения качества подготовки документов для кадастрового учёта. Также на портале Росре</w:t>
      </w:r>
      <w:r>
        <w:rPr>
          <w:color w:val="000000"/>
          <w:sz w:val="26"/>
          <w:szCs w:val="26"/>
          <w:shd w:val="clear" w:color="auto" w:fill="ffffff"/>
        </w:rPr>
        <w:t xml:space="preserve">естра</w:t>
      </w:r>
      <w:r>
        <w:rPr>
          <w:color w:val="000000"/>
          <w:sz w:val="26"/>
          <w:szCs w:val="26"/>
        </w:rPr>
        <w:t xml:space="preserve"> доступна возможность помещения документа в электронное хранилище</w:t>
      </w:r>
      <w:r>
        <w:rPr>
          <w:color w:val="000000"/>
          <w:sz w:val="26"/>
          <w:szCs w:val="26"/>
          <w:shd w:val="clear" w:color="auto" w:fill="ffffff"/>
        </w:rPr>
        <w:t xml:space="preserve"> с присвоением ему уникального</w:t>
      </w:r>
      <w:r>
        <w:rPr>
          <w:color w:val="000000"/>
          <w:sz w:val="26"/>
          <w:szCs w:val="26"/>
          <w:shd w:val="clear" w:color="auto" w:fill="ffffff"/>
        </w:rPr>
        <w:t xml:space="preserve"> номера. Данный функционал «Личного кабинета» разработан для удобства заказчика кадастровых работ - при обращении в орган регистрации прав не потребуется представлять документ на электронном носителе, достаточно указать уникальный номер в бланке заявления.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>
        <w:rPr>
          <w:iCs/>
          <w:color w:val="000000"/>
          <w:sz w:val="26"/>
          <w:szCs w:val="26"/>
          <w:lang w:eastAsia="ru-RU"/>
        </w:rPr>
        <w:t xml:space="preserve">Универсальный сервис «</w:t>
      </w:r>
      <w:r>
        <w:rPr>
          <w:rStyle w:val="669"/>
          <w:iCs/>
          <w:color w:val="000000"/>
          <w:sz w:val="26"/>
          <w:szCs w:val="26"/>
          <w:u w:val="none"/>
          <w:lang w:eastAsia="ru-RU"/>
        </w:rPr>
        <w:t xml:space="preserve">Личный кабинет</w:t>
      </w:r>
      <w:r>
        <w:rPr>
          <w:iCs/>
          <w:color w:val="000000"/>
          <w:sz w:val="26"/>
          <w:szCs w:val="26"/>
          <w:lang w:eastAsia="ru-RU"/>
        </w:rPr>
        <w:t xml:space="preserve">» расположен на главной странице портала </w:t>
      </w:r>
      <w:r>
        <w:fldChar w:fldCharType="begin"/>
      </w:r>
      <w:r>
        <w:instrText xml:space="preserve"> HYPERLINK "https://rosreestr.gov.ru/"</w:instrText>
      </w:r>
      <w:r>
        <w:fldChar w:fldCharType="separate"/>
      </w:r>
      <w:r>
        <w:rPr>
          <w:rStyle w:val="669"/>
          <w:iCs/>
          <w:sz w:val="26"/>
          <w:szCs w:val="26"/>
          <w:lang w:eastAsia="ru-RU"/>
        </w:rPr>
        <w:t xml:space="preserve">Росреестра</w:t>
      </w:r>
      <w:r>
        <w:fldChar w:fldCharType="end"/>
      </w:r>
      <w:r>
        <w:rPr>
          <w:iCs/>
          <w:color w:val="000000"/>
          <w:sz w:val="26"/>
          <w:szCs w:val="26"/>
          <w:lang w:eastAsia="ru-RU"/>
        </w:rPr>
        <w:t xml:space="preserve">, для входа в сервис следует воспользоваться учетной записью портала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69"/>
          <w:iCs/>
          <w:sz w:val="26"/>
          <w:szCs w:val="26"/>
          <w:lang w:eastAsia="ru-RU"/>
        </w:rPr>
        <w:t xml:space="preserve">Госуслуг</w:t>
      </w:r>
      <w:r>
        <w:fldChar w:fldCharType="end"/>
      </w:r>
      <w:r>
        <w:rPr>
          <w:iCs/>
          <w:color w:val="000000"/>
          <w:sz w:val="26"/>
          <w:szCs w:val="26"/>
          <w:lang w:eastAsia="ru-RU"/>
        </w:rPr>
        <w:t xml:space="preserve">.</w:t>
      </w:r>
      <w:r/>
    </w:p>
    <w:p>
      <w:pPr>
        <w:pStyle w:val="639"/>
        <w:ind w:left="0" w:right="0" w:firstLine="709"/>
        <w:jc w:val="both"/>
        <w:widowControl w:val="off"/>
        <w:tabs>
          <w:tab w:val="left" w:pos="1134" w:leader="none"/>
        </w:tabs>
      </w:pPr>
      <w:r/>
      <w:r/>
    </w:p>
    <w:p>
      <w:pPr>
        <w:pStyle w:val="639"/>
        <w:jc w:val="both"/>
        <w:rPr>
          <w:rStyle w:val="683"/>
          <w:i/>
          <w:iCs/>
          <w:color w:val="000000"/>
          <w:u w:val="none"/>
          <w:shd w:val="clear" w:color="auto" w:fill="ffffff"/>
        </w:rPr>
      </w:pPr>
      <w:r>
        <w:rPr>
          <w:rStyle w:val="683"/>
          <w:i/>
          <w:iCs/>
          <w:color w:val="000000"/>
          <w:u w:val="none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2185" cy="58721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598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872185" cy="5872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2.38pt;height:462.3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683"/>
          <w:i/>
          <w:iCs/>
          <w:color w:val="000000"/>
          <w:u w:val="none"/>
          <w:shd w:val="clear" w:color="auto" w:fill="ffffff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538" w:right="567" w:bottom="550" w:left="1134" w:header="709" w:footer="33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4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9"/>
    <w:next w:val="63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9"/>
    <w:next w:val="63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9"/>
    <w:next w:val="63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39"/>
    <w:next w:val="63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64"/>
    <w:link w:val="42"/>
    <w:uiPriority w:val="99"/>
  </w:style>
  <w:style w:type="paragraph" w:styleId="44">
    <w:name w:val="Footer"/>
    <w:basedOn w:val="63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64"/>
    <w:link w:val="44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10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link w:val="63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Заголовок 1"/>
    <w:basedOn w:val="689"/>
    <w:next w:val="685"/>
    <w:link w:val="639"/>
    <w:pPr>
      <w:numPr>
        <w:ilvl w:val="0"/>
        <w:numId w:val="1"/>
      </w:numPr>
      <w:ind w:left="0" w:right="0" w:firstLine="0"/>
      <w:outlineLvl w:val="0"/>
    </w:pPr>
  </w:style>
  <w:style w:type="paragraph" w:styleId="641">
    <w:name w:val="Заголовок 2"/>
    <w:basedOn w:val="689"/>
    <w:next w:val="685"/>
    <w:link w:val="639"/>
    <w:pPr>
      <w:numPr>
        <w:ilvl w:val="1"/>
        <w:numId w:val="1"/>
      </w:numPr>
      <w:ind w:left="0" w:right="0" w:firstLine="0"/>
      <w:outlineLvl w:val="1"/>
    </w:pPr>
  </w:style>
  <w:style w:type="paragraph" w:styleId="642">
    <w:name w:val="Заголовок 3"/>
    <w:basedOn w:val="689"/>
    <w:next w:val="685"/>
    <w:link w:val="639"/>
    <w:pPr>
      <w:numPr>
        <w:ilvl w:val="2"/>
        <w:numId w:val="1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Основной шрифт абзаца"/>
    <w:next w:val="652"/>
    <w:link w:val="639"/>
  </w:style>
  <w:style w:type="character" w:styleId="653">
    <w:name w:val="Основной шрифт абзаца2"/>
    <w:next w:val="653"/>
    <w:link w:val="639"/>
  </w:style>
  <w:style w:type="character" w:styleId="654">
    <w:name w:val="WW8Num2z0"/>
    <w:next w:val="654"/>
    <w:link w:val="639"/>
  </w:style>
  <w:style w:type="character" w:styleId="655">
    <w:name w:val="WW8Num2z1"/>
    <w:next w:val="655"/>
    <w:link w:val="639"/>
  </w:style>
  <w:style w:type="character" w:styleId="656">
    <w:name w:val="WW8Num2z2"/>
    <w:next w:val="656"/>
    <w:link w:val="639"/>
  </w:style>
  <w:style w:type="character" w:styleId="657">
    <w:name w:val="WW8Num2z3"/>
    <w:next w:val="657"/>
    <w:link w:val="639"/>
  </w:style>
  <w:style w:type="character" w:styleId="658">
    <w:name w:val="WW8Num2z4"/>
    <w:next w:val="658"/>
    <w:link w:val="639"/>
  </w:style>
  <w:style w:type="character" w:styleId="659">
    <w:name w:val="WW8Num2z5"/>
    <w:next w:val="659"/>
    <w:link w:val="639"/>
  </w:style>
  <w:style w:type="character" w:styleId="660">
    <w:name w:val="WW8Num2z6"/>
    <w:next w:val="660"/>
    <w:link w:val="639"/>
  </w:style>
  <w:style w:type="character" w:styleId="661">
    <w:name w:val="WW8Num2z7"/>
    <w:next w:val="661"/>
    <w:link w:val="639"/>
  </w:style>
  <w:style w:type="character" w:styleId="662">
    <w:name w:val="WW8Num2z8"/>
    <w:next w:val="662"/>
    <w:link w:val="639"/>
  </w:style>
  <w:style w:type="character" w:styleId="663">
    <w:name w:val="Основной шрифт абзаца1"/>
    <w:next w:val="663"/>
    <w:link w:val="639"/>
  </w:style>
  <w:style w:type="character" w:styleId="664" w:default="1">
    <w:name w:val="Default Paragraph Font"/>
    <w:next w:val="664"/>
    <w:link w:val="639"/>
  </w:style>
  <w:style w:type="character" w:styleId="665">
    <w:name w:val="ConsNonformat Знак"/>
    <w:next w:val="665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6">
    <w:name w:val="Основной текст (5)_"/>
    <w:next w:val="666"/>
    <w:link w:val="639"/>
    <w:rPr>
      <w:b/>
      <w:bCs/>
      <w:spacing w:val="2"/>
      <w:sz w:val="24"/>
      <w:szCs w:val="24"/>
      <w:lang w:bidi="ar-SA"/>
    </w:rPr>
  </w:style>
  <w:style w:type="character" w:styleId="667">
    <w:name w:val="Основной текст (4)_"/>
    <w:next w:val="667"/>
    <w:link w:val="639"/>
    <w:rPr>
      <w:b/>
      <w:bCs/>
      <w:sz w:val="24"/>
      <w:szCs w:val="24"/>
      <w:lang w:bidi="ar-SA"/>
    </w:rPr>
  </w:style>
  <w:style w:type="character" w:styleId="668">
    <w:name w:val="Выделение"/>
    <w:next w:val="668"/>
    <w:link w:val="639"/>
    <w:rPr>
      <w:rFonts w:cs="Times New Roman"/>
      <w:i/>
      <w:iCs/>
    </w:rPr>
  </w:style>
  <w:style w:type="character" w:styleId="669">
    <w:name w:val="Интернет-ссылка"/>
    <w:next w:val="669"/>
    <w:link w:val="639"/>
    <w:rPr>
      <w:color w:val="0000ff"/>
      <w:u w:val="single"/>
    </w:rPr>
  </w:style>
  <w:style w:type="character" w:styleId="670">
    <w:name w:val="Нижний колонтитул Знак"/>
    <w:next w:val="670"/>
    <w:link w:val="639"/>
    <w:rPr>
      <w:sz w:val="24"/>
      <w:szCs w:val="24"/>
      <w:lang w:val="ru-RU" w:bidi="ar-SA"/>
    </w:rPr>
  </w:style>
  <w:style w:type="character" w:styleId="671">
    <w:name w:val="Верхний колонтитул Знак"/>
    <w:next w:val="671"/>
    <w:link w:val="639"/>
    <w:rPr>
      <w:sz w:val="24"/>
      <w:szCs w:val="24"/>
    </w:rPr>
  </w:style>
  <w:style w:type="character" w:styleId="672">
    <w:name w:val="Текст выноски Знак"/>
    <w:next w:val="672"/>
    <w:link w:val="639"/>
    <w:rPr>
      <w:rFonts w:ascii="Tahoma" w:hAnsi="Tahoma" w:cs="Tahoma"/>
      <w:sz w:val="16"/>
      <w:szCs w:val="16"/>
    </w:rPr>
  </w:style>
  <w:style w:type="character" w:styleId="673">
    <w:name w:val="apple-converted-space"/>
    <w:basedOn w:val="664"/>
    <w:next w:val="673"/>
    <w:link w:val="639"/>
  </w:style>
  <w:style w:type="character" w:styleId="674">
    <w:name w:val="Текст сноски Знак"/>
    <w:next w:val="674"/>
    <w:link w:val="639"/>
    <w:rPr>
      <w:rFonts w:ascii="Calibri" w:hAnsi="Calibri" w:eastAsia="Calibri" w:cs="Times New Roman"/>
    </w:rPr>
  </w:style>
  <w:style w:type="character" w:styleId="675">
    <w:name w:val="footnote reference"/>
    <w:next w:val="675"/>
    <w:link w:val="639"/>
    <w:rPr>
      <w:vertAlign w:val="superscript"/>
    </w:rPr>
  </w:style>
  <w:style w:type="character" w:styleId="676">
    <w:name w:val="apple-style-span"/>
    <w:basedOn w:val="664"/>
    <w:next w:val="676"/>
    <w:link w:val="639"/>
  </w:style>
  <w:style w:type="character" w:styleId="677">
    <w:name w:val="Strong1"/>
    <w:next w:val="677"/>
    <w:link w:val="639"/>
    <w:rPr>
      <w:b/>
      <w:bCs/>
    </w:rPr>
  </w:style>
  <w:style w:type="character" w:styleId="678">
    <w:name w:val="Основной текст (8)"/>
    <w:next w:val="678"/>
    <w:link w:val="639"/>
    <w:rPr>
      <w:spacing w:val="4"/>
      <w:sz w:val="28"/>
      <w:u w:val="single"/>
    </w:rPr>
  </w:style>
  <w:style w:type="character" w:styleId="679">
    <w:name w:val="ListLabel 1"/>
    <w:next w:val="679"/>
    <w:link w:val="639"/>
    <w:rPr>
      <w:sz w:val="20"/>
    </w:rPr>
  </w:style>
  <w:style w:type="character" w:styleId="680">
    <w:name w:val="Посещённая гиперссылка"/>
    <w:next w:val="680"/>
    <w:link w:val="639"/>
    <w:rPr>
      <w:color w:val="800000"/>
      <w:u w:val="single"/>
    </w:rPr>
  </w:style>
  <w:style w:type="character" w:styleId="681">
    <w:name w:val="ListLabel 5"/>
    <w:next w:val="681"/>
    <w:link w:val="639"/>
    <w:rPr>
      <w:rFonts w:ascii="Times New Roman" w:hAnsi="Times New Roman" w:cs="Times New Roman"/>
      <w:i w:val="0"/>
      <w:sz w:val="28"/>
    </w:rPr>
  </w:style>
  <w:style w:type="character" w:styleId="682">
    <w:name w:val="Символ нумерации"/>
    <w:next w:val="682"/>
    <w:link w:val="639"/>
  </w:style>
  <w:style w:type="character" w:styleId="683">
    <w:name w:val="WW-Интернет-ссылка"/>
    <w:next w:val="683"/>
    <w:link w:val="639"/>
    <w:rPr>
      <w:color w:val="0000ff"/>
      <w:u w:val="single"/>
    </w:rPr>
  </w:style>
  <w:style w:type="paragraph" w:styleId="684">
    <w:name w:val="Заголовок"/>
    <w:basedOn w:val="690"/>
    <w:next w:val="685"/>
    <w:link w:val="639"/>
    <w:pPr>
      <w:jc w:val="center"/>
    </w:pPr>
    <w:rPr>
      <w:b/>
      <w:bCs/>
      <w:sz w:val="56"/>
      <w:szCs w:val="56"/>
    </w:rPr>
  </w:style>
  <w:style w:type="paragraph" w:styleId="685">
    <w:name w:val="Основной текст"/>
    <w:basedOn w:val="639"/>
    <w:next w:val="685"/>
    <w:link w:val="639"/>
    <w:pPr>
      <w:spacing w:before="0" w:after="140" w:line="288" w:lineRule="auto"/>
    </w:pPr>
  </w:style>
  <w:style w:type="paragraph" w:styleId="686">
    <w:name w:val="Список"/>
    <w:basedOn w:val="685"/>
    <w:next w:val="686"/>
    <w:link w:val="639"/>
    <w:rPr>
      <w:rFonts w:cs="Mangal"/>
    </w:rPr>
  </w:style>
  <w:style w:type="paragraph" w:styleId="687">
    <w:name w:val="Название"/>
    <w:basedOn w:val="639"/>
    <w:next w:val="687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88">
    <w:name w:val="Указатель"/>
    <w:basedOn w:val="639"/>
    <w:next w:val="688"/>
    <w:link w:val="639"/>
    <w:pPr>
      <w:suppressLineNumbers/>
    </w:pPr>
    <w:rPr>
      <w:rFonts w:cs="Mangal"/>
    </w:rPr>
  </w:style>
  <w:style w:type="paragraph" w:styleId="689">
    <w:name w:val="Заголовок1"/>
    <w:basedOn w:val="639"/>
    <w:next w:val="685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0">
    <w:name w:val="Заголовок2"/>
    <w:basedOn w:val="689"/>
    <w:next w:val="685"/>
    <w:link w:val="639"/>
  </w:style>
  <w:style w:type="paragraph" w:styleId="691">
    <w:name w:val="Название объекта"/>
    <w:basedOn w:val="639"/>
    <w:next w:val="691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2">
    <w:name w:val="Указатель3"/>
    <w:basedOn w:val="639"/>
    <w:next w:val="692"/>
    <w:link w:val="639"/>
    <w:pPr>
      <w:suppressLineNumbers/>
    </w:pPr>
    <w:rPr>
      <w:rFonts w:cs="Mangal"/>
    </w:rPr>
  </w:style>
  <w:style w:type="paragraph" w:styleId="693">
    <w:name w:val="Название объекта2"/>
    <w:basedOn w:val="639"/>
    <w:next w:val="693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4">
    <w:name w:val="Указатель2"/>
    <w:basedOn w:val="639"/>
    <w:next w:val="694"/>
    <w:link w:val="639"/>
    <w:pPr>
      <w:suppressLineNumbers/>
    </w:pPr>
    <w:rPr>
      <w:rFonts w:cs="Mangal"/>
    </w:rPr>
  </w:style>
  <w:style w:type="paragraph" w:styleId="695">
    <w:name w:val="Название объекта1"/>
    <w:basedOn w:val="639"/>
    <w:next w:val="695"/>
    <w:link w:val="639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696">
    <w:name w:val="Указатель1"/>
    <w:basedOn w:val="639"/>
    <w:next w:val="696"/>
    <w:link w:val="639"/>
    <w:pPr>
      <w:suppressLineNumbers/>
    </w:pPr>
    <w:rPr>
      <w:rFonts w:ascii="Times New Roman" w:hAnsi="Times New Roman" w:cs="Mangal"/>
    </w:rPr>
  </w:style>
  <w:style w:type="paragraph" w:styleId="697">
    <w:name w:val="index heading"/>
    <w:basedOn w:val="639"/>
    <w:next w:val="697"/>
    <w:link w:val="639"/>
    <w:pPr>
      <w:suppressLineNumbers/>
    </w:pPr>
    <w:rPr>
      <w:rFonts w:cs="Mangal"/>
    </w:rPr>
  </w:style>
  <w:style w:type="paragraph" w:styleId="698">
    <w:name w:val="ConsNonformat"/>
    <w:next w:val="698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699">
    <w:name w:val="ConsPlusNormal"/>
    <w:next w:val="699"/>
    <w:link w:val="639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00">
    <w:name w:val="Основной текст (5)"/>
    <w:basedOn w:val="639"/>
    <w:next w:val="700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701">
    <w:name w:val="Основной текст (4)"/>
    <w:basedOn w:val="639"/>
    <w:next w:val="701"/>
    <w:link w:val="639"/>
    <w:pPr>
      <w:jc w:val="right"/>
      <w:spacing w:line="302" w:lineRule="exact"/>
      <w:shd w:val="clear" w:color="auto" w:fill="ffffff"/>
    </w:pPr>
    <w:rPr>
      <w:b/>
      <w:bCs/>
    </w:rPr>
  </w:style>
  <w:style w:type="paragraph" w:styleId="702">
    <w:name w:val="Верхний и нижний колонтитулы"/>
    <w:basedOn w:val="639"/>
    <w:next w:val="702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03">
    <w:name w:val="Колонтитул"/>
    <w:basedOn w:val="639"/>
    <w:next w:val="703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04">
    <w:name w:val="Нижний колонтитул"/>
    <w:basedOn w:val="639"/>
    <w:next w:val="704"/>
    <w:link w:val="639"/>
    <w:pPr>
      <w:tabs>
        <w:tab w:val="center" w:pos="4677" w:leader="none"/>
        <w:tab w:val="right" w:pos="9355" w:leader="none"/>
      </w:tabs>
    </w:pPr>
  </w:style>
  <w:style w:type="paragraph" w:styleId="705">
    <w:name w:val="ConsPlusTitle"/>
    <w:next w:val="705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06">
    <w:name w:val="Верхний колонтитул"/>
    <w:basedOn w:val="639"/>
    <w:next w:val="706"/>
    <w:link w:val="639"/>
    <w:pPr>
      <w:tabs>
        <w:tab w:val="center" w:pos="4677" w:leader="none"/>
        <w:tab w:val="right" w:pos="9355" w:leader="none"/>
      </w:tabs>
    </w:pPr>
  </w:style>
  <w:style w:type="paragraph" w:styleId="707">
    <w:name w:val="Balloon Text"/>
    <w:basedOn w:val="639"/>
    <w:next w:val="707"/>
    <w:link w:val="639"/>
    <w:rPr>
      <w:rFonts w:ascii="Tahoma" w:hAnsi="Tahoma" w:cs="Tahoma"/>
      <w:sz w:val="16"/>
      <w:szCs w:val="16"/>
    </w:rPr>
  </w:style>
  <w:style w:type="paragraph" w:styleId="708">
    <w:name w:val="Normal (Web)"/>
    <w:basedOn w:val="639"/>
    <w:next w:val="708"/>
    <w:link w:val="639"/>
    <w:pPr>
      <w:spacing w:before="280" w:after="280"/>
    </w:pPr>
  </w:style>
  <w:style w:type="paragraph" w:styleId="709">
    <w:name w:val="List Paragraph"/>
    <w:basedOn w:val="639"/>
    <w:next w:val="709"/>
    <w:link w:val="639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10">
    <w:name w:val="footnote text"/>
    <w:basedOn w:val="639"/>
    <w:next w:val="710"/>
    <w:link w:val="639"/>
    <w:rPr>
      <w:rFonts w:ascii="Calibri" w:hAnsi="Calibri" w:eastAsia="Calibri" w:cs="Times New Roman"/>
      <w:sz w:val="20"/>
      <w:szCs w:val="20"/>
    </w:rPr>
  </w:style>
  <w:style w:type="paragraph" w:styleId="711">
    <w:name w:val="Default"/>
    <w:next w:val="711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12">
    <w:name w:val="rtejustify"/>
    <w:basedOn w:val="639"/>
    <w:next w:val="712"/>
    <w:link w:val="639"/>
    <w:pPr>
      <w:jc w:val="both"/>
      <w:spacing w:before="0" w:after="288"/>
    </w:pPr>
  </w:style>
  <w:style w:type="paragraph" w:styleId="713">
    <w:name w:val="Цитата1"/>
    <w:basedOn w:val="639"/>
    <w:next w:val="713"/>
    <w:link w:val="639"/>
  </w:style>
  <w:style w:type="paragraph" w:styleId="714">
    <w:name w:val="Подзаголовок"/>
    <w:basedOn w:val="689"/>
    <w:next w:val="685"/>
    <w:link w:val="639"/>
  </w:style>
  <w:style w:type="paragraph" w:styleId="715">
    <w:name w:val="Содержимое таблицы"/>
    <w:basedOn w:val="639"/>
    <w:next w:val="715"/>
    <w:link w:val="639"/>
  </w:style>
  <w:style w:type="paragraph" w:styleId="716">
    <w:name w:val="Основной текст3"/>
    <w:basedOn w:val="639"/>
    <w:next w:val="716"/>
    <w:link w:val="639"/>
    <w:pPr>
      <w:ind w:left="0" w:right="0" w:firstLine="0"/>
      <w:spacing w:line="322" w:lineRule="exact"/>
    </w:pPr>
  </w:style>
  <w:style w:type="paragraph" w:styleId="717">
    <w:name w:val="western"/>
    <w:basedOn w:val="639"/>
    <w:next w:val="717"/>
    <w:link w:val="639"/>
    <w:pPr>
      <w:spacing w:before="280" w:after="142" w:line="288" w:lineRule="auto"/>
    </w:pPr>
    <w:rPr>
      <w:lang w:eastAsia="zh-CN"/>
    </w:rPr>
  </w:style>
  <w:style w:type="paragraph" w:styleId="718">
    <w:name w:val="Заголовок таблицы"/>
    <w:basedOn w:val="715"/>
    <w:next w:val="718"/>
    <w:link w:val="639"/>
    <w:pPr>
      <w:jc w:val="center"/>
      <w:suppressLineNumbers/>
    </w:pPr>
    <w:rPr>
      <w:b/>
      <w:bCs/>
    </w:rPr>
  </w:style>
  <w:style w:type="paragraph" w:styleId="719">
    <w:name w:val="Блочная цитата"/>
    <w:basedOn w:val="639"/>
    <w:next w:val="719"/>
    <w:link w:val="639"/>
    <w:pPr>
      <w:ind w:left="567" w:right="567" w:firstLine="0"/>
      <w:spacing w:before="0" w:after="283"/>
    </w:pPr>
  </w:style>
  <w:style w:type="paragraph" w:styleId="720">
    <w:name w:val="No Spacing"/>
    <w:next w:val="720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numbering" w:styleId="83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revision>21</cp:revision>
  <dcterms:created xsi:type="dcterms:W3CDTF">2022-10-10T11:51:00Z</dcterms:created>
  <dcterms:modified xsi:type="dcterms:W3CDTF">2024-12-11T09:53:33Z</dcterms:modified>
</cp:coreProperties>
</file>