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left"/>
      </w:pPr>
      <w:r>
        <w:rPr>
          <w:rFonts w:eastAsia="Calibri"/>
          <w:b/>
          <w:bCs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945924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</w: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836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Cs w:val="28"/>
        </w:rPr>
        <w:t xml:space="preserve">17.02</w:t>
      </w:r>
      <w:r>
        <w:rPr>
          <w:rFonts w:ascii="Times New Roman" w:hAnsi="Times New Roman" w:eastAsia="Times New Roman" w:cs="Times New Roman"/>
          <w:bCs/>
          <w:szCs w:val="28"/>
        </w:rPr>
        <w:t xml:space="preserve">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размещения на сайтах администраций и в средствах массовых информации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left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3d4146"/>
          <w:sz w:val="28"/>
          <w:szCs w:val="28"/>
        </w:rPr>
        <w:t xml:space="preserve">Росреестр полностью переходит на электронное взаимодействие с юридическими лицами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left"/>
        <w:keepNext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rPr>
          <w:rFonts w:ascii="Times New Roman" w:hAnsi="Times New Roman" w:cs="Times New Roman"/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С 1 марта 2025 года вступает в силу Федеральный закон от 26.12.2024 № 487-ФЗ «О внесении изменений в отдельные законодательные акты Российской Федерации», который определяет порядок электронного взаимодействия между Росреестром и юридическими лицами. Росре</w:t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естр разработал </w:t>
      </w:r>
      <w:hyperlink r:id="rId10" w:tooltip="https://rosreestr.gov.ru/upload/Doc/informatsiya/%D0%AD%D0%BB%D0%B5%D0%BA%D1%82%D1%80%D0%BE%D0%BD%D0%BD%D0%BE%D0%B5%20%D0%B2%D0%B7%D0%B0%D0%B8%D0%BC%D0%BE%D0%B4%D0%B5%D0%B9%D1%81%D1%82%D0%B2%D0%B8%D0%B5%20%D0%A0%D0%BE%D1%81%D1%80%D0%B5%D0%B5%D1%81%D1%82%D1%80%D0%B0%20%D1%81%20%D1%8E%D1%80%D0%BB%D0%B8%D1%86%D0%B0%D0%BC%D0%B8.pdf" w:history="1">
        <w:r>
          <w:rPr>
            <w:rStyle w:val="812"/>
            <w:rFonts w:ascii="Times New Roman" w:hAnsi="Times New Roman" w:eastAsia="Times New Roman" w:cs="Times New Roman"/>
            <w:color w:val="0000ee"/>
            <w:sz w:val="28"/>
            <w:szCs w:val="24"/>
            <w:u w:val="single"/>
          </w:rPr>
          <w:t xml:space="preserve">методичку</w:t>
        </w:r>
      </w:hyperlink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, которая поможет разобраться во всех нюансах.</w:t>
        <w:br/>
        <w:br/>
        <w:t xml:space="preserve">Согласно новым правилам, с 1 марта 2025 года юридические лица должны подавать заявления на государственный кадастровый учёт и государственную регистрацию прав с прилагаемыми к ним документами только в электро</w:t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нной форме. Бумажные документы будут возвращаться без рассмотрения.</w:t>
        <w:br/>
        <w:br/>
        <w:t xml:space="preserve">Исключением являются случаи, когда стороной сделки, подлежащей государственной регистрации, или сделки, на основании которой регистрируется соответствующее право (ограничение или обремене</w:t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ние), является физическое лицо (кроме договоров участия в долевом строительстве).</w:t>
        <w:br/>
        <w:br/>
        <w:t xml:space="preserve">Возможность подачи в регистрирующий орган заявления на бумажном носителе сохранится до 1 января 2026 г. за рядом юридических лиц: крестьянскими (фермерскими) хозяйствами, са</w:t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доводческими и огородническими товариществами, гаражными, жилищными и жилищно-строительными кооперативами, товариществами собственников жилья.</w:t>
        <w:br/>
        <w:br/>
        <w:t xml:space="preserve">Законом также установлено, что юридическое лицо вправе подать документы в регистрирующий орган на бумажном носит</w:t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еле при наличии временной технической невозможности обращения в электронной форме.</w:t>
        <w:br/>
        <w:br/>
      </w:r>
      <w:r>
        <w:rPr>
          <w:rFonts w:ascii="Times New Roman" w:hAnsi="Times New Roman" w:eastAsia="Times New Roman" w:cs="Times New Roman"/>
          <w:b/>
          <w:color w:val="292c2f"/>
          <w:sz w:val="28"/>
          <w:szCs w:val="24"/>
        </w:rPr>
        <w:t xml:space="preserve">Регистрация договоров участия в долевом строительстве</w:t>
        <w:br/>
        <w:br/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Договоры участия в долевом строительстве предоставляются на государственную регистрацию только в форме электронных документов. Подписанный собственноручными подписями скан-образ бумажного договора не является электронным документом.</w:t>
        <w:br/>
        <w:br/>
        <w:t xml:space="preserve">Закон также обязал зас</w:t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тройщиков после подписания передаточного акта самостоятельно направлять в Росреестр заявления и документы для государственной регистрации права собственности участника долевого строительства исключительно в электронной форме.</w:t>
        <w:br/>
        <w:br/>
        <w:t xml:space="preserve">Таким образом, электронный фо</w:t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рмат взаимодействия застройщиков с регистрирующим органом будет обязательным.</w:t>
        <w:br/>
        <w:br/>
        <w:t xml:space="preserve">После завершения процедуры регистрации застройщик должен передать участнику долевого строительства выписку из Единого государственного реестра недвижимости.</w:t>
        <w:br/>
        <w:br/>
      </w:r>
      <w:r>
        <w:rPr>
          <w:rFonts w:ascii="Times New Roman" w:hAnsi="Times New Roman" w:eastAsia="Times New Roman" w:cs="Times New Roman"/>
          <w:b/>
          <w:color w:val="292c2f"/>
          <w:sz w:val="28"/>
          <w:szCs w:val="24"/>
        </w:rPr>
        <w:t xml:space="preserve">Способы подачи электронных документов в Росреестр: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rFonts w:ascii="Times New Roman" w:hAnsi="Times New Roman" w:cs="Times New Roman"/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Личный кабинет на официальном сайте Росреестра;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rFonts w:ascii="Times New Roman" w:hAnsi="Times New Roman" w:cs="Times New Roman"/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Сервис прямого доступа (СПД-3);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rFonts w:ascii="Times New Roman" w:hAnsi="Times New Roman" w:cs="Times New Roman"/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Сервис взаимодействия с Росреестром и Адаптер электронного взаимодействия (Адаптер);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rFonts w:ascii="Times New Roman" w:hAnsi="Times New Roman" w:cs="Times New Roman"/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Федеральная государственная информационная система межведомственного электронного взаимодействия (СМЭВ);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rFonts w:ascii="Times New Roman" w:hAnsi="Times New Roman" w:cs="Times New Roman"/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Иные способы, предусмотренные пунктом 2 части 1 статьи 18 Федерального закона от 13.07.2015 № 218-ФЗ «О государственной регистрации недвижимости».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3"/>
        <w:jc w:val="left"/>
        <w:keepNext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33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40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836"/>
        <w:jc w:val="left"/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eastAsia="Calibri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eastAsia="Calibri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eastAsia="Calibri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eastAsia="Calibri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  <w:r/>
    </w:p>
    <w:p>
      <w:pPr>
        <w:pStyle w:val="836"/>
        <w:jc w:val="left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pStyle w:val="836"/>
        <w:jc w:val="left"/>
      </w:pPr>
      <w:r>
        <w:rPr>
          <w:rFonts w:eastAsia="Calibri"/>
          <w:b/>
          <w:sz w:val="20"/>
          <w:lang w:eastAsia="sk-SK"/>
        </w:rPr>
        <w:t xml:space="preserve">Контакты для СМИ</w:t>
      </w:r>
      <w:r/>
    </w:p>
    <w:p>
      <w:pPr>
        <w:pStyle w:val="836"/>
        <w:jc w:val="left"/>
      </w:pPr>
      <w:r>
        <w:rPr>
          <w:rFonts w:eastAsia="Calibri"/>
          <w:sz w:val="20"/>
          <w:lang w:eastAsia="en-US"/>
        </w:rPr>
        <w:t xml:space="preserve">Пресс-секретарь Управления Росреестра по Алтайскому краю</w:t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  <w:r/>
    </w:p>
    <w:p>
      <w:pPr>
        <w:pStyle w:val="836"/>
        <w:jc w:val="left"/>
      </w:pPr>
      <w:r/>
      <w:hyperlink r:id="rId11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Советская, д. 16</w:t>
      </w:r>
      <w:r/>
    </w:p>
    <w:p>
      <w:pPr>
        <w:pStyle w:val="836"/>
        <w:jc w:val="left"/>
      </w:pPr>
      <w:r>
        <w:rPr>
          <w:rFonts w:eastAsia="Calibri"/>
          <w:sz w:val="20"/>
          <w:lang w:eastAsia="en-US"/>
        </w:rPr>
        <w:t xml:space="preserve">Сайт Росреестра:</w:t>
      </w:r>
      <w:r>
        <w:rPr>
          <w:sz w:val="20"/>
        </w:rPr>
        <w:t xml:space="preserve"> </w:t>
      </w:r>
      <w:hyperlink r:id="rId12" w:tooltip="http://www.rosreestr.gov.ru/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3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  <w:r/>
    </w:p>
    <w:p>
      <w:pPr>
        <w:pStyle w:val="836"/>
        <w:jc w:val="left"/>
      </w:pPr>
      <w:r>
        <w:rPr>
          <w:rFonts w:eastAsia="Calibri"/>
          <w:sz w:val="20"/>
          <w:lang w:eastAsia="en-US"/>
        </w:rPr>
        <w:t xml:space="preserve">ВКонтакте: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4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  <w:br/>
      </w:r>
      <w:r>
        <w:rPr>
          <w:rFonts w:eastAsia="Calibri"/>
          <w:sz w:val="20"/>
          <w:lang w:eastAsia="en-US"/>
        </w:rPr>
        <w:t xml:space="preserve">Телеграм-канал: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  <w:r/>
    </w:p>
    <w:p>
      <w:pPr>
        <w:pStyle w:val="836"/>
        <w:jc w:val="left"/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5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  <w:r/>
      <w:r/>
    </w:p>
    <w:p>
      <w:pPr>
        <w:pStyle w:val="833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ource Han Sans CN Regular">
    <w:panose1 w:val="02020603050405020304"/>
  </w:font>
  <w:font w:name="Symbol">
    <w:panose1 w:val="05010000000000000000"/>
  </w:font>
  <w:font w:name="&amp;apos;PT Astra Serif&amp;apos;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Standard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" w:hAnsi="PT Astra Serif" w:eastAsia="Source Han Sans CN Regular" w:cs="'PT Astra Serif'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upload/Doc/informatsiya/%D0%AD%D0%BB%D0%B5%D0%BA%D1%82%D1%80%D0%BE%D0%BD%D0%BD%D0%BE%D0%B5%20%D0%B2%D0%B7%D0%B0%D0%B8%D0%BC%D0%BE%D0%B4%D0%B5%D0%B9%D1%81%D1%82%D0%B2%D0%B8%D0%B5%20%D0%A0%D0%BE%D1%81%D1%80%D0%B5%D0%B5%D1%81%D1%82%D1%80%D0%B0%20%D1%81%20%D1%8E%D1%80%D0%BB%D0%B8%D1%86%D0%B0%D0%BC%D0%B8.pdf" TargetMode="External"/><Relationship Id="rId11" Type="http://schemas.openxmlformats.org/officeDocument/2006/relationships/hyperlink" Target="mailto:22press_rosreestr@mail.ru" TargetMode="External"/><Relationship Id="rId12" Type="http://schemas.openxmlformats.org/officeDocument/2006/relationships/hyperlink" Target="http://www.rosreestr.gov.ru/" TargetMode="External"/><Relationship Id="rId13" Type="http://schemas.openxmlformats.org/officeDocument/2006/relationships/hyperlink" Target="https://dzen.ru/id/6392ad9bbc8b8d2fd42961a7" TargetMode="External"/><Relationship Id="rId14" Type="http://schemas.openxmlformats.org/officeDocument/2006/relationships/hyperlink" Target="https://vk.com/rosreestr_altaiskii_krai" TargetMode="External"/><Relationship Id="rId15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2025-02-17T08:38:24Z</dcterms:modified>
</cp:coreProperties>
</file>